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FF0000"/>
          <w:w w:val="90"/>
          <w:sz w:val="100"/>
          <w:szCs w:val="100"/>
        </w:rPr>
      </w:pPr>
    </w:p>
    <w:p>
      <w:pPr>
        <w:jc w:val="center"/>
        <w:rPr>
          <w:rFonts w:ascii="宋体" w:hAnsi="宋体"/>
          <w:b/>
          <w:color w:val="FFFFFF"/>
          <w:w w:val="90"/>
          <w:sz w:val="100"/>
          <w:szCs w:val="100"/>
        </w:rPr>
      </w:pPr>
      <w:r>
        <w:rPr>
          <w:rFonts w:hint="eastAsia" w:ascii="宋体" w:hAnsi="宋体"/>
          <w:b/>
          <w:color w:val="FF0000"/>
          <w:w w:val="90"/>
          <w:sz w:val="100"/>
          <w:szCs w:val="100"/>
        </w:rPr>
        <w:t>湖师院商学院文件</w:t>
      </w:r>
    </w:p>
    <w:p>
      <w:pPr>
        <w:spacing w:line="320" w:lineRule="exact"/>
        <w:rPr>
          <w:rFonts w:ascii="仿宋_GB2312" w:eastAsia="仿宋_GB2312"/>
          <w:b/>
          <w:color w:val="000000"/>
          <w:sz w:val="32"/>
          <w:szCs w:val="32"/>
        </w:rPr>
      </w:pPr>
    </w:p>
    <w:p>
      <w:pPr>
        <w:spacing w:line="400" w:lineRule="exact"/>
        <w:jc w:val="center"/>
        <w:rPr>
          <w:rFonts w:ascii="仿宋_GB2312" w:eastAsia="仿宋_GB2312"/>
          <w:b/>
          <w:color w:val="000000"/>
          <w:sz w:val="32"/>
          <w:szCs w:val="32"/>
        </w:rPr>
      </w:pPr>
      <w:r>
        <w:rPr>
          <w:rFonts w:hint="eastAsia" w:ascii="仿宋_GB2312" w:eastAsia="仿宋_GB2312"/>
          <w:b/>
          <w:color w:val="000000"/>
          <w:sz w:val="32"/>
          <w:szCs w:val="32"/>
        </w:rPr>
        <w:t>湖师商发〔2017〕8号</w:t>
      </w:r>
    </w:p>
    <w:p>
      <w:pPr>
        <w:spacing w:line="500" w:lineRule="exact"/>
        <w:rPr>
          <w:rFonts w:ascii="方正小标宋简体" w:eastAsia="方正小标宋简体"/>
          <w:color w:val="FF0000"/>
          <w:sz w:val="52"/>
          <w:szCs w:val="52"/>
        </w:rPr>
      </w:pPr>
      <w:r>
        <w:rPr>
          <w:rFonts w:ascii="仿宋_GB2312" w:eastAsia="仿宋_GB2312"/>
          <w:b/>
          <w:color w:val="000000"/>
          <w:sz w:val="32"/>
          <w:szCs w:val="32"/>
        </w:rPr>
        <w:pict>
          <v:line id="_x0000_s1026" o:spid="_x0000_s1026" o:spt="20" style="position:absolute;left:0pt;margin-left:14.2pt;margin-top:13.8pt;height:0pt;width:411.3pt;z-index:251660288;mso-width-relative:page;mso-height-relative:page;" stroked="t" coordsize="21600,21600">
            <v:path arrowok="t"/>
            <v:fill focussize="0,0"/>
            <v:stroke weight="2.25pt" color="#FF0000"/>
            <v:imagedata o:title=""/>
            <o:lock v:ext="edit"/>
          </v:line>
        </w:pict>
      </w:r>
      <w:r>
        <w:rPr>
          <w:rFonts w:hint="eastAsia" w:ascii="仿宋_GB2312" w:eastAsia="仿宋_GB2312"/>
          <w:b/>
          <w:color w:val="000000"/>
          <w:sz w:val="32"/>
          <w:szCs w:val="32"/>
        </w:rPr>
        <w:t xml:space="preserve">  </w:t>
      </w:r>
      <w:r>
        <w:rPr>
          <w:rFonts w:hint="eastAsia" w:ascii="方正小标宋简体" w:eastAsia="方正小标宋简体"/>
          <w:color w:val="FF0000"/>
          <w:sz w:val="52"/>
          <w:szCs w:val="52"/>
        </w:rPr>
        <w:t xml:space="preserve"> </w:t>
      </w:r>
    </w:p>
    <w:p>
      <w:pPr>
        <w:spacing w:line="480" w:lineRule="exact"/>
        <w:rPr>
          <w:rFonts w:ascii="仿宋_GB2312" w:hAnsi="仿宋_GB2312" w:eastAsia="仿宋_GB2312" w:cs="仿宋_GB2312"/>
          <w:b/>
          <w:kern w:val="1"/>
          <w:sz w:val="28"/>
          <w:szCs w:val="28"/>
        </w:rPr>
      </w:pPr>
    </w:p>
    <w:p>
      <w:pPr>
        <w:spacing w:line="600" w:lineRule="exact"/>
        <w:jc w:val="center"/>
        <w:rPr>
          <w:rFonts w:ascii="方正小标宋简体" w:hAnsi="方正小标宋简体" w:eastAsia="方正小标宋简体" w:cs="方正小标宋简体"/>
          <w:b/>
          <w:bCs w:val="0"/>
          <w:kern w:val="1"/>
          <w:sz w:val="44"/>
          <w:szCs w:val="44"/>
        </w:rPr>
      </w:pPr>
      <w:r>
        <w:rPr>
          <w:rFonts w:hint="eastAsia" w:ascii="方正小标宋简体" w:hAnsi="方正小标宋简体" w:eastAsia="方正小标宋简体" w:cs="方正小标宋简体"/>
          <w:b/>
          <w:bCs w:val="0"/>
          <w:kern w:val="1"/>
          <w:sz w:val="44"/>
          <w:szCs w:val="44"/>
        </w:rPr>
        <w:t>湖州师范学院商学院学</w:t>
      </w:r>
      <w:bookmarkStart w:id="0" w:name="_GoBack"/>
      <w:bookmarkEnd w:id="0"/>
      <w:r>
        <w:rPr>
          <w:rFonts w:hint="eastAsia" w:ascii="方正小标宋简体" w:hAnsi="方正小标宋简体" w:eastAsia="方正小标宋简体" w:cs="方正小标宋简体"/>
          <w:b/>
          <w:bCs w:val="0"/>
          <w:kern w:val="1"/>
          <w:sz w:val="44"/>
          <w:szCs w:val="44"/>
        </w:rPr>
        <w:t>风建设方案</w:t>
      </w:r>
    </w:p>
    <w:p>
      <w:pPr>
        <w:spacing w:line="480" w:lineRule="exact"/>
        <w:ind w:firstLine="560" w:firstLineChars="200"/>
        <w:rPr>
          <w:rFonts w:ascii="仿宋_GB2312" w:hAnsi="仿宋_GB2312" w:eastAsia="仿宋_GB2312" w:cs="仿宋_GB2312"/>
          <w:kern w:val="1"/>
          <w:sz w:val="28"/>
          <w:szCs w:val="28"/>
        </w:rPr>
      </w:pPr>
    </w:p>
    <w:p>
      <w:pPr>
        <w:spacing w:line="540" w:lineRule="exact"/>
        <w:ind w:firstLine="640" w:firstLineChars="200"/>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学风建设旨在培养学生勤奋好学的学习精神，有较强的专业意识，有明确的学习目标，使学生在学好专业基础课程前提下，掌握专业应用技能，促进德、智、体、美全面发展。也旨在加强大学生对日常生活行为准则和遵守校纪校规的意识，弘扬当代大学生应有的进取精神，展现大学生对知识的向往与追求。学院加强其学风建设，努力创建优良的学习风气，让在校大学生跟随步伐，做一名严于律己、积极进取、志存高远的学者，同时提高人才培养质量，促进学校教育事业的发展。</w:t>
      </w:r>
    </w:p>
    <w:p>
      <w:pPr>
        <w:spacing w:line="540" w:lineRule="exact"/>
        <w:ind w:firstLine="643" w:firstLineChars="200"/>
        <w:rPr>
          <w:rFonts w:ascii="黑体" w:hAnsi="黑体" w:eastAsia="黑体" w:cs="黑体"/>
          <w:b/>
          <w:kern w:val="1"/>
          <w:sz w:val="32"/>
          <w:szCs w:val="32"/>
        </w:rPr>
      </w:pPr>
      <w:r>
        <w:rPr>
          <w:rFonts w:hint="eastAsia" w:ascii="黑体" w:hAnsi="黑体" w:eastAsia="黑体" w:cs="黑体"/>
          <w:b/>
          <w:kern w:val="1"/>
          <w:sz w:val="32"/>
          <w:szCs w:val="32"/>
        </w:rPr>
        <w:t>一</w:t>
      </w:r>
      <w:r>
        <w:rPr>
          <w:rFonts w:hint="eastAsia" w:ascii="黑体" w:hAnsi="黑体" w:eastAsia="黑体" w:cs="黑体"/>
          <w:kern w:val="1"/>
          <w:sz w:val="32"/>
          <w:szCs w:val="32"/>
        </w:rPr>
        <w:t>、</w:t>
      </w:r>
      <w:r>
        <w:rPr>
          <w:rFonts w:hint="eastAsia" w:ascii="黑体" w:hAnsi="黑体" w:eastAsia="黑体" w:cs="黑体"/>
          <w:b/>
          <w:kern w:val="1"/>
          <w:sz w:val="32"/>
          <w:szCs w:val="32"/>
        </w:rPr>
        <w:t>学风建设贯彻方向</w:t>
      </w:r>
    </w:p>
    <w:p>
      <w:pPr>
        <w:spacing w:line="540" w:lineRule="exact"/>
        <w:ind w:firstLine="640" w:firstLineChars="200"/>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学风是一所高校的灵魂，优良的学风是保证提高教育教学质量的重要条件之一。体现一名大学生的基本素养，与其所在大学的学风建设也离不开关系。学校，以育人为本，所谓“有知识的坏人”最是可怕，因此学风建设可以促进大学生在知识和做人上取得双赢。不以规矩，不成方圆，学院的学风建设基于几个关键的方面：出勤率、纪律性、通识教育、诚信度、学习经验交流、考研、党员带领、学籍预警、考证、学术创新等。以此推动全院学生明确学习目标，端正学习态度，严明学习纪律，养成学习习惯，培养学习兴趣，产生学习效果，促进本学院学风建设。</w:t>
      </w:r>
    </w:p>
    <w:p>
      <w:pPr>
        <w:spacing w:line="540" w:lineRule="exact"/>
        <w:ind w:firstLine="643" w:firstLineChars="200"/>
        <w:rPr>
          <w:rFonts w:ascii="黑体" w:hAnsi="黑体" w:eastAsia="黑体" w:cs="黑体"/>
          <w:b/>
          <w:kern w:val="1"/>
          <w:sz w:val="32"/>
          <w:szCs w:val="32"/>
        </w:rPr>
      </w:pPr>
      <w:r>
        <w:rPr>
          <w:rFonts w:hint="eastAsia" w:ascii="黑体" w:hAnsi="黑体" w:eastAsia="黑体" w:cs="黑体"/>
          <w:b/>
          <w:kern w:val="1"/>
          <w:sz w:val="32"/>
          <w:szCs w:val="32"/>
        </w:rPr>
        <w:t>二、实施方案</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1"/>
          <w:sz w:val="32"/>
          <w:szCs w:val="32"/>
        </w:rPr>
        <w:t>1.严抓出勤率，增</w:t>
      </w:r>
      <w:r>
        <w:rPr>
          <w:rFonts w:hint="eastAsia" w:ascii="仿宋_GB2312" w:hAnsi="仿宋_GB2312" w:eastAsia="仿宋_GB2312" w:cs="仿宋_GB2312"/>
          <w:sz w:val="32"/>
          <w:szCs w:val="32"/>
        </w:rPr>
        <w:t>强纪律性。自律部要</w:t>
      </w:r>
      <w:r>
        <w:rPr>
          <w:rFonts w:hint="eastAsia" w:ascii="仿宋_GB2312" w:hAnsi="仿宋_GB2312" w:eastAsia="仿宋_GB2312" w:cs="仿宋_GB2312"/>
          <w:kern w:val="1"/>
          <w:sz w:val="32"/>
          <w:szCs w:val="32"/>
        </w:rPr>
        <w:t>提高新生早晚自习出勤率，拒绝将早餐带入教室，严禁学生在课堂上食用早饭，以提高学习效率；纪检部要强抓日常课程到课率，</w:t>
      </w:r>
      <w:r>
        <w:rPr>
          <w:rFonts w:hint="eastAsia" w:ascii="仿宋_GB2312" w:hAnsi="仿宋_GB2312" w:eastAsia="仿宋_GB2312" w:cs="仿宋_GB2312"/>
          <w:sz w:val="32"/>
          <w:szCs w:val="32"/>
        </w:rPr>
        <w:t>严格实施学生考勤和请假制度，对学生旷课现象进行严格的教育管理，严格执行违纪学生教育制度，做到学生一次违纪多人教育，做到防微杜渐。平时副班长要严格考核课堂出勤率，端正学生学习态度，重视学习及课堂出勤。</w:t>
      </w:r>
    </w:p>
    <w:p>
      <w:pPr>
        <w:spacing w:line="540" w:lineRule="exact"/>
        <w:ind w:firstLine="640" w:firstLineChars="200"/>
        <w:rPr>
          <w:rFonts w:ascii="仿宋_GB2312" w:hAnsi="仿宋_GB2312" w:eastAsia="仿宋_GB2312" w:cs="仿宋_GB2312"/>
          <w:kern w:val="1"/>
          <w:sz w:val="32"/>
          <w:szCs w:val="32"/>
        </w:rPr>
      </w:pPr>
      <w:r>
        <w:rPr>
          <w:rFonts w:hint="eastAsia" w:ascii="仿宋_GB2312" w:hAnsi="仿宋_GB2312" w:eastAsia="仿宋_GB2312" w:cs="仿宋_GB2312"/>
          <w:sz w:val="32"/>
          <w:szCs w:val="32"/>
        </w:rPr>
        <w:t>2.加强新生的通识教育和始业教育的效果，灌输积极思想和进取精神，从刚进大学起便让每一位湖师学子坚持做人的根本，保持那颗积极向上、为梦想奋斗的心。让每一位大学生充满理想和斗志。</w:t>
      </w:r>
    </w:p>
    <w:p>
      <w:pPr>
        <w:spacing w:line="540" w:lineRule="exact"/>
        <w:ind w:firstLine="640" w:firstLineChars="200"/>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3.诚信考试，不作弊。诚信乃做人之本，尤其作为商科学子，更是不能在任何情况下失信。如有作弊者，应严格执行作弊处分制度。</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1"/>
          <w:sz w:val="32"/>
          <w:szCs w:val="32"/>
        </w:rPr>
        <w:t>4.</w:t>
      </w:r>
      <w:r>
        <w:rPr>
          <w:rFonts w:hint="eastAsia" w:ascii="仿宋_GB2312" w:hAnsi="仿宋_GB2312" w:eastAsia="仿宋_GB2312" w:cs="仿宋_GB2312"/>
          <w:sz w:val="32"/>
          <w:szCs w:val="32"/>
        </w:rPr>
        <w:t>开展学习经验交流会，例如英语四六级、考研经验交流会等，营造良好的学习氛围，使后者可以从前者身上吸取宝贵经验，少走弯路，为梦想拼搏。</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5.开展考研相关座谈会、讲座等活动，激发学生的考研热情，营造浓郁的学习氛围，提高自身的知识面、素养及学历，以便进入社会比他人更胜一筹。</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党员发挥作用。构建学生党建与教学工作的协同机制，学生党员成为学风建设的引领者，课堂应该成为学生党员发挥模范带头作用的重要阵地。学生党员要积极投身专业学习，并积极参加各种级别的学科竞赛、申请专利、发表论文、考研等。在学习态度、学习行为、学习成果等方面成为先行者。帮助学习落后学生，做好“先进带后进”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7.提高学籍预警工作的教育意义。通过学籍预警提醒学习落后的学生对学业的重视，促进这部分学生对学习的规划，使其能在大学期间顺利完成学业。</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8.积极考各类证书。大力宣传学生多考证，使学生走上社会后能有更多的选择机会。或者向着目标考取更多利于自己理想职业的证书，利于实现自己的梦想。</w:t>
      </w:r>
    </w:p>
    <w:p>
      <w:pPr>
        <w:spacing w:line="540" w:lineRule="exact"/>
        <w:ind w:firstLine="640" w:firstLineChars="200"/>
        <w:rPr>
          <w:rFonts w:ascii="仿宋_GB2312" w:hAnsi="仿宋_GB2312" w:eastAsia="仿宋_GB2312" w:cs="仿宋_GB2312"/>
          <w:kern w:val="1"/>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kern w:val="1"/>
          <w:sz w:val="32"/>
          <w:szCs w:val="32"/>
        </w:rPr>
        <w:t>鼓励学生多借书。学校具备很好的图书馆资源，但商学院学生的图书借阅量并不高。学院可以要求学生定期借阅与专业相关的图书或自己感兴趣的书籍。并写下读书心得和体验。</w:t>
      </w:r>
    </w:p>
    <w:p>
      <w:pPr>
        <w:spacing w:line="540" w:lineRule="exact"/>
        <w:ind w:firstLine="640" w:firstLineChars="200"/>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10.大考前互帮互助。期中期末考试复习周时，可以邀请成绩优异的学生在空余时间为学习有困难的学生进行学业辅导，降低学生的挂科率。补考周时，有能力者也应当帮助需要补考的同学，降低重修率。</w:t>
      </w:r>
    </w:p>
    <w:p>
      <w:pPr>
        <w:spacing w:line="540" w:lineRule="exact"/>
        <w:ind w:firstLine="640" w:firstLineChars="200"/>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11.实现角色转换，营造良好的学习气氛。与任课教师相沟通，改变教师是“演员”，学生是“观众”的填鸭式模式，变成教师是“导演”，学生是“演员”的启发式教学模式，调动学生的学习兴趣，形成学生由“要我学”、“被动学”变成“我要学”、“主动学”的活跃的学习气氛。</w:t>
      </w:r>
    </w:p>
    <w:p>
      <w:pPr>
        <w:spacing w:line="540" w:lineRule="exact"/>
        <w:ind w:firstLine="640" w:firstLineChars="200"/>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12.从制度方面来讲，建立和完善学风教育制度、考勤制度、考风考纪制度、评奖评优制度、综合素质测评制度、组织发展制度、奖学金评定细则、贫困生资助等一系列相关制度，建立完善的班级管理制度和骨干队伍建制，引入竞争激励机制，鼓励学生开展比学赶超的良好习惯。在这些制度的建设和落实工程中，要与学生的学风挂钩，体现学风建设的内容。</w:t>
      </w:r>
    </w:p>
    <w:p>
      <w:pPr>
        <w:spacing w:line="540" w:lineRule="exact"/>
        <w:ind w:firstLine="643" w:firstLineChars="200"/>
        <w:rPr>
          <w:rFonts w:ascii="黑体" w:hAnsi="黑体" w:eastAsia="黑体" w:cs="黑体"/>
          <w:b/>
          <w:kern w:val="1"/>
          <w:sz w:val="32"/>
          <w:szCs w:val="32"/>
        </w:rPr>
      </w:pPr>
      <w:r>
        <w:rPr>
          <w:rFonts w:hint="eastAsia" w:ascii="黑体" w:hAnsi="黑体" w:eastAsia="黑体" w:cs="黑体"/>
          <w:b/>
          <w:kern w:val="1"/>
          <w:sz w:val="32"/>
          <w:szCs w:val="32"/>
        </w:rPr>
        <w:t>三、创新方案</w:t>
      </w:r>
    </w:p>
    <w:p>
      <w:pPr>
        <w:spacing w:line="540" w:lineRule="exact"/>
        <w:ind w:firstLine="640" w:firstLineChars="200"/>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1.利用电子信息化方式，创建相关平台，展现学院或学校的学风动态，关注他人在做什么，知道自己要做什么，激发在各方面的进取欲望与创新灵感。也可同时在平台上发布已毕业或仍在校的表现优秀的学生的事迹，为学生树立好榜样，鼓励大家向榜样学习。对于考风方面也可通过学校网站，微信推送等方法加强宣传力度，加强学生自身对考纪的维护，让学生们认识到违反考试纪律、校纪校规的危害。考试期间，让监考老师加强管理，并有辅导员巡视，要坚决杜绝此类作弊行为。</w:t>
      </w:r>
    </w:p>
    <w:p>
      <w:pPr>
        <w:spacing w:line="540" w:lineRule="exact"/>
        <w:ind w:firstLine="640" w:firstLineChars="200"/>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2.开展校规校纪教育月、校园文明行动活动月、优良学风班级评比等活动，增强学风建设效果。</w:t>
      </w:r>
    </w:p>
    <w:p>
      <w:pPr>
        <w:spacing w:line="540" w:lineRule="exact"/>
        <w:ind w:firstLine="640" w:firstLineChars="200"/>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3.建立深入班级、深入课堂的辅导员听课制度，以促进我院思政队伍改进工作作风，努力抓好学风建设。辅导员经常到课堂听课，可及时掌握学生在课堂学习的第一手资料，了解与解决学生学习中存在的问题，有利于增强大学生思想政治教育工作的实效性和针对性。 </w:t>
      </w:r>
    </w:p>
    <w:p>
      <w:pPr>
        <w:spacing w:line="540" w:lineRule="exact"/>
        <w:ind w:firstLine="640" w:firstLineChars="200"/>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4.定期于德清湖畔举行文化沙龙，有兴趣的同学可就文化、艺术、商业等方面进行交流、分享，可邀请外教以及外籍学生一起，提高口语以及开拓视野，寻找新视角。</w:t>
      </w:r>
    </w:p>
    <w:p>
      <w:pPr>
        <w:spacing w:line="540" w:lineRule="exact"/>
        <w:ind w:firstLine="640" w:firstLineChars="200"/>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5.开展关于学风建设的海报画画比赛、以学风建设为题的论文比赛、以学风建设为主题的表演比赛等活动。</w:t>
      </w:r>
    </w:p>
    <w:p>
      <w:pPr>
        <w:spacing w:line="540" w:lineRule="exact"/>
        <w:ind w:firstLine="560" w:firstLineChars="200"/>
        <w:rPr>
          <w:rFonts w:ascii="仿宋_GB2312" w:hAnsi="仿宋_GB2312" w:eastAsia="仿宋_GB2312" w:cs="仿宋_GB2312"/>
          <w:kern w:val="1"/>
          <w:sz w:val="28"/>
          <w:szCs w:val="28"/>
        </w:rPr>
      </w:pPr>
    </w:p>
    <w:p>
      <w:pPr>
        <w:spacing w:line="540" w:lineRule="exact"/>
        <w:ind w:firstLine="560" w:firstLineChars="200"/>
        <w:rPr>
          <w:rFonts w:ascii="仿宋_GB2312" w:hAnsi="仿宋_GB2312" w:eastAsia="仿宋_GB2312" w:cs="仿宋_GB2312"/>
          <w:kern w:val="1"/>
          <w:sz w:val="28"/>
          <w:szCs w:val="28"/>
        </w:rPr>
      </w:pPr>
    </w:p>
    <w:p>
      <w:pPr>
        <w:spacing w:line="540" w:lineRule="exact"/>
        <w:ind w:firstLine="560" w:firstLineChars="200"/>
        <w:rPr>
          <w:rFonts w:ascii="仿宋_GB2312" w:hAnsi="仿宋_GB2312" w:eastAsia="仿宋_GB2312" w:cs="仿宋_GB2312"/>
          <w:sz w:val="28"/>
          <w:szCs w:val="28"/>
        </w:rPr>
      </w:pPr>
    </w:p>
    <w:p>
      <w:pPr>
        <w:spacing w:line="480" w:lineRule="exact"/>
        <w:rPr>
          <w:rFonts w:ascii="仿宋_GB2312" w:hAnsi="仿宋_GB2312" w:eastAsia="仿宋_GB2312" w:cs="仿宋_GB2312"/>
          <w:sz w:val="28"/>
          <w:szCs w:val="28"/>
        </w:rPr>
      </w:pPr>
    </w:p>
    <w:p>
      <w:pPr>
        <w:spacing w:line="600" w:lineRule="exact"/>
        <w:ind w:right="-80" w:rightChars="-38" w:firstLine="4960" w:firstLineChars="1550"/>
        <w:jc w:val="right"/>
        <w:rPr>
          <w:rFonts w:ascii="仿宋_GB2312" w:eastAsia="仿宋_GB2312"/>
          <w:sz w:val="32"/>
          <w:szCs w:val="32"/>
        </w:rPr>
      </w:pPr>
      <w:r>
        <w:rPr>
          <w:rFonts w:hint="eastAsia" w:ascii="仿宋_GB2312" w:eastAsia="仿宋_GB2312"/>
          <w:sz w:val="32"/>
          <w:szCs w:val="32"/>
        </w:rPr>
        <w:t>湖州师范学院商学院</w:t>
      </w:r>
    </w:p>
    <w:p>
      <w:pPr>
        <w:spacing w:line="600" w:lineRule="exact"/>
        <w:ind w:right="-80" w:rightChars="-38" w:firstLine="4960" w:firstLineChars="1550"/>
        <w:jc w:val="right"/>
        <w:rPr>
          <w:rFonts w:ascii="仿宋_GB2312" w:eastAsia="仿宋_GB2312"/>
          <w:sz w:val="32"/>
          <w:szCs w:val="32"/>
        </w:rPr>
      </w:pPr>
    </w:p>
    <w:p>
      <w:pPr>
        <w:pStyle w:val="3"/>
        <w:ind w:right="160" w:firstLine="5280" w:firstLineChars="1650"/>
        <w:jc w:val="right"/>
        <w:rPr>
          <w:sz w:val="32"/>
        </w:rPr>
      </w:pPr>
      <w:r>
        <w:rPr>
          <w:rFonts w:hint="eastAsia" w:hAnsi="宋体"/>
          <w:sz w:val="32"/>
          <w:szCs w:val="32"/>
        </w:rPr>
        <w:t>2017年6月19日</w:t>
      </w:r>
    </w:p>
    <w:p>
      <w:pPr>
        <w:spacing w:line="480" w:lineRule="exact"/>
        <w:ind w:firstLine="562" w:firstLineChars="200"/>
        <w:rPr>
          <w:rFonts w:ascii="仿宋_GB2312" w:hAnsi="仿宋_GB2312" w:eastAsia="仿宋_GB2312" w:cs="仿宋_GB2312"/>
          <w:b/>
          <w:bCs/>
          <w:sz w:val="28"/>
          <w:szCs w:val="28"/>
        </w:rPr>
      </w:pPr>
    </w:p>
    <w:p>
      <w:pPr>
        <w:spacing w:line="480" w:lineRule="exact"/>
        <w:ind w:firstLine="562" w:firstLineChars="200"/>
        <w:rPr>
          <w:rFonts w:ascii="仿宋_GB2312" w:hAnsi="仿宋_GB2312" w:eastAsia="仿宋_GB2312" w:cs="仿宋_GB2312"/>
          <w:b/>
          <w:bCs/>
          <w:sz w:val="28"/>
          <w:szCs w:val="28"/>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ascii="仿宋_GB2312"/>
          <w:sz w:val="32"/>
        </w:rPr>
      </w:pPr>
    </w:p>
    <w:p>
      <w:pPr>
        <w:spacing w:line="100" w:lineRule="exact"/>
        <w:ind w:right="-816"/>
        <w:rPr>
          <w:rFonts w:ascii="黑体" w:eastAsia="黑体"/>
          <w:b/>
          <w:sz w:val="32"/>
          <w:u w:val="single"/>
        </w:rPr>
      </w:pPr>
      <w:r>
        <w:rPr>
          <w:rFonts w:hint="eastAsia" w:ascii="黑体" w:eastAsia="黑体"/>
          <w:b/>
          <w:sz w:val="32"/>
          <w:u w:val="single"/>
        </w:rPr>
        <w:t xml:space="preserve">                                                         </w:t>
      </w:r>
    </w:p>
    <w:p>
      <w:pPr>
        <w:spacing w:line="440" w:lineRule="exact"/>
        <w:ind w:right="-816"/>
        <w:rPr>
          <w:rFonts w:ascii="仿宋_GB2312" w:eastAsia="仿宋_GB2312"/>
          <w:sz w:val="32"/>
        </w:rPr>
      </w:pPr>
      <w:r>
        <w:rPr>
          <w:rFonts w:hint="eastAsia" w:ascii="仿宋_GB2312" w:eastAsia="仿宋_GB2312"/>
          <w:sz w:val="32"/>
        </w:rPr>
        <w:t>抄送：校党委办公室、教务处</w:t>
      </w:r>
    </w:p>
    <w:p>
      <w:pPr>
        <w:spacing w:line="100" w:lineRule="exact"/>
        <w:ind w:right="-816"/>
        <w:rPr>
          <w:rFonts w:ascii="黑体" w:eastAsia="黑体"/>
          <w:b/>
          <w:sz w:val="32"/>
          <w:u w:val="single"/>
        </w:rPr>
      </w:pPr>
      <w:r>
        <w:rPr>
          <w:rFonts w:hint="eastAsia" w:ascii="黑体" w:eastAsia="黑体"/>
          <w:b/>
          <w:sz w:val="32"/>
          <w:u w:val="single"/>
        </w:rPr>
        <w:t xml:space="preserve">                                                         </w:t>
      </w:r>
    </w:p>
    <w:p>
      <w:pPr>
        <w:spacing w:line="440" w:lineRule="exact"/>
        <w:ind w:right="-816"/>
        <w:rPr>
          <w:rFonts w:ascii="仿宋_GB2312" w:eastAsia="仿宋_GB2312"/>
          <w:sz w:val="32"/>
        </w:rPr>
      </w:pPr>
      <w:r>
        <w:rPr>
          <w:rFonts w:hint="eastAsia" w:ascii="仿宋_GB2312" w:eastAsia="仿宋_GB2312"/>
          <w:sz w:val="32"/>
        </w:rPr>
        <w:t>湖州师范学院</w:t>
      </w:r>
      <w:r>
        <w:rPr>
          <w:rFonts w:hint="eastAsia" w:eastAsia="仿宋_GB2312"/>
          <w:sz w:val="32"/>
          <w:lang w:val="en-GB"/>
        </w:rPr>
        <w:t>商学院</w:t>
      </w:r>
      <w:r>
        <w:rPr>
          <w:rFonts w:hint="eastAsia" w:ascii="仿宋_GB2312" w:eastAsia="仿宋_GB2312"/>
          <w:sz w:val="32"/>
        </w:rPr>
        <w:t xml:space="preserve">                   2017年6月19日印发</w:t>
      </w:r>
    </w:p>
    <w:p>
      <w:pPr>
        <w:spacing w:line="100" w:lineRule="exact"/>
        <w:ind w:right="-816"/>
        <w:rPr>
          <w:rFonts w:ascii="黑体" w:eastAsia="黑体"/>
          <w:b/>
          <w:sz w:val="32"/>
          <w:u w:val="single"/>
        </w:rPr>
      </w:pPr>
      <w:r>
        <w:rPr>
          <w:rFonts w:hint="eastAsia" w:ascii="黑体" w:eastAsia="黑体"/>
          <w:b/>
          <w:sz w:val="32"/>
          <w:u w:val="single"/>
        </w:rPr>
        <w:t xml:space="preserve">                                                         </w:t>
      </w:r>
    </w:p>
    <w:p>
      <w:pPr>
        <w:spacing w:line="440" w:lineRule="exact"/>
        <w:ind w:right="-816"/>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A4B1F"/>
    <w:multiLevelType w:val="multilevel"/>
    <w:tmpl w:val="59AA4B1F"/>
    <w:lvl w:ilvl="0" w:tentative="0">
      <w:start w:val="1"/>
      <w:numFmt w:val="decimal"/>
      <w:pStyle w:val="2"/>
      <w:lvlText w:val="第%1章"/>
      <w:lvlJc w:val="left"/>
      <w:pPr>
        <w:ind w:left="0" w:firstLine="0"/>
      </w:pPr>
    </w:lvl>
    <w:lvl w:ilvl="1" w:tentative="0">
      <w:start w:val="1"/>
      <w:numFmt w:val="decimal"/>
      <w:lvlText w:val="%1.%2"/>
      <w:lvlJc w:val="left"/>
      <w:pPr>
        <w:ind w:left="425" w:firstLine="0"/>
      </w:pPr>
    </w:lvl>
    <w:lvl w:ilvl="2" w:tentative="0">
      <w:start w:val="1"/>
      <w:numFmt w:val="decimal"/>
      <w:lvlText w:val="%1.%2.%3"/>
      <w:lvlJc w:val="left"/>
      <w:pPr>
        <w:ind w:left="851" w:firstLine="0"/>
      </w:pPr>
    </w:lvl>
    <w:lvl w:ilvl="3" w:tentative="0">
      <w:start w:val="1"/>
      <w:numFmt w:val="decimal"/>
      <w:lvlText w:val="%1.%2.%3.%4"/>
      <w:lvlJc w:val="left"/>
      <w:pPr>
        <w:ind w:left="1276" w:firstLine="0"/>
      </w:pPr>
    </w:lvl>
    <w:lvl w:ilvl="4" w:tentative="0">
      <w:start w:val="1"/>
      <w:numFmt w:val="decimal"/>
      <w:lvlText w:val="%1.%2.%3.%4.%5"/>
      <w:lvlJc w:val="left"/>
      <w:pPr>
        <w:ind w:left="1701" w:firstLine="0"/>
      </w:pPr>
    </w:lvl>
    <w:lvl w:ilvl="5" w:tentative="0">
      <w:start w:val="1"/>
      <w:numFmt w:val="decimal"/>
      <w:lvlText w:val="%1.%2.%3.%4.%5.%6"/>
      <w:lvlJc w:val="left"/>
      <w:pPr>
        <w:ind w:left="2126" w:firstLine="0"/>
      </w:pPr>
    </w:lvl>
    <w:lvl w:ilvl="6" w:tentative="0">
      <w:start w:val="1"/>
      <w:numFmt w:val="decimal"/>
      <w:lvlText w:val="%1.%2.%3.%4.%5.%6.%7"/>
      <w:lvlJc w:val="left"/>
      <w:pPr>
        <w:ind w:left="2551" w:firstLine="0"/>
      </w:pPr>
    </w:lvl>
    <w:lvl w:ilvl="7" w:tentative="0">
      <w:start w:val="1"/>
      <w:numFmt w:val="decimal"/>
      <w:lvlText w:val="%1.%2.%3.%4.%5.%6.%7.%8"/>
      <w:lvlJc w:val="left"/>
      <w:pPr>
        <w:ind w:left="2976" w:firstLine="0"/>
      </w:pPr>
    </w:lvl>
    <w:lvl w:ilvl="8" w:tentative="0">
      <w:start w:val="1"/>
      <w:numFmt w:val="decimal"/>
      <w:lvlText w:val="%1.%2.%3.%4.%5.%6.%7.%8.%9"/>
      <w:lvlJc w:val="left"/>
      <w:pPr>
        <w:ind w:left="3402"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720F"/>
    <w:rsid w:val="00046B24"/>
    <w:rsid w:val="00093048"/>
    <w:rsid w:val="001B4284"/>
    <w:rsid w:val="002274CB"/>
    <w:rsid w:val="00230DD3"/>
    <w:rsid w:val="002378E7"/>
    <w:rsid w:val="00397F3A"/>
    <w:rsid w:val="00495AA1"/>
    <w:rsid w:val="004F5E73"/>
    <w:rsid w:val="006106C5"/>
    <w:rsid w:val="007C720F"/>
    <w:rsid w:val="007F5A16"/>
    <w:rsid w:val="0081457B"/>
    <w:rsid w:val="00851701"/>
    <w:rsid w:val="0099032A"/>
    <w:rsid w:val="00A477EA"/>
    <w:rsid w:val="00C846D0"/>
    <w:rsid w:val="00DB631F"/>
    <w:rsid w:val="00E6107A"/>
    <w:rsid w:val="00F27F9D"/>
    <w:rsid w:val="59BE7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8"/>
    <w:qFormat/>
    <w:uiPriority w:val="9"/>
    <w:pPr>
      <w:keepNext/>
      <w:keepLines/>
      <w:widowControl w:val="0"/>
      <w:numPr>
        <w:ilvl w:val="0"/>
        <w:numId w:val="1"/>
      </w:numPr>
      <w:spacing w:line="360" w:lineRule="auto"/>
      <w:ind w:left="425" w:hanging="425"/>
      <w:jc w:val="center"/>
      <w:outlineLvl w:val="0"/>
    </w:pPr>
    <w:rPr>
      <w:rFonts w:ascii="Calibri" w:hAnsi="Calibri" w:eastAsia="Calibri" w:cs="Times New Roman"/>
      <w:b/>
      <w:bCs/>
      <w:kern w:val="0"/>
      <w:sz w:val="28"/>
      <w:szCs w:val="4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9"/>
    <w:unhideWhenUsed/>
    <w:qFormat/>
    <w:uiPriority w:val="0"/>
    <w:rPr>
      <w:rFonts w:ascii="仿宋_GB2312" w:hAnsi="仿宋_GB2312" w:eastAsia="仿宋_GB2312"/>
      <w:kern w:val="1"/>
      <w:sz w:val="30"/>
      <w:szCs w:val="20"/>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6"/>
    <w:link w:val="2"/>
    <w:uiPriority w:val="9"/>
    <w:rPr>
      <w:rFonts w:ascii="Calibri" w:hAnsi="Calibri" w:eastAsia="Calibri" w:cs="Times New Roman"/>
      <w:b/>
      <w:bCs/>
      <w:kern w:val="0"/>
      <w:sz w:val="28"/>
      <w:szCs w:val="44"/>
    </w:rPr>
  </w:style>
  <w:style w:type="character" w:customStyle="1" w:styleId="9">
    <w:name w:val="日期 Char"/>
    <w:basedOn w:val="6"/>
    <w:link w:val="3"/>
    <w:uiPriority w:val="0"/>
    <w:rPr>
      <w:rFonts w:ascii="仿宋_GB2312" w:hAnsi="仿宋_GB2312" w:eastAsia="仿宋_GB2312"/>
      <w:kern w:val="1"/>
      <w:sz w:val="30"/>
      <w:szCs w:val="20"/>
    </w:rPr>
  </w:style>
  <w:style w:type="character" w:customStyle="1" w:styleId="10">
    <w:name w:val="页眉 Char"/>
    <w:basedOn w:val="6"/>
    <w:link w:val="5"/>
    <w:semiHidden/>
    <w:uiPriority w:val="99"/>
    <w:rPr>
      <w:sz w:val="18"/>
      <w:szCs w:val="18"/>
    </w:rPr>
  </w:style>
  <w:style w:type="character" w:customStyle="1" w:styleId="11">
    <w:name w:val="页脚 Char"/>
    <w:basedOn w:val="6"/>
    <w:link w:val="4"/>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380</Words>
  <Characters>2170</Characters>
  <Lines>18</Lines>
  <Paragraphs>5</Paragraphs>
  <TotalTime>0</TotalTime>
  <ScaleCrop>false</ScaleCrop>
  <LinksUpToDate>false</LinksUpToDate>
  <CharactersWithSpaces>2545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2017-10-26T07:00:00Z</dcterms:created>
  <dc:creator>Microsoft</dc:creator>
  <cp:lastModifiedBy>Administrator</cp:lastModifiedBy>
  <cp:lastPrinted>2017-11-20T11:42:16Z</cp:lastPrinted>
  <dcterms:modified xsi:type="dcterms:W3CDTF">2017-11-20T11:44:31Z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